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ABF73" w14:textId="77777777" w:rsidR="00425B2E" w:rsidRPr="00425B2E" w:rsidRDefault="00425B2E" w:rsidP="00425B2E">
      <w:pPr>
        <w:widowControl/>
        <w:spacing w:before="75"/>
        <w:ind w:right="144"/>
        <w:jc w:val="center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浙江大学心理与行为科学系研究生评奖评优</w:t>
      </w:r>
    </w:p>
    <w:p w14:paraId="549F873A" w14:textId="77777777" w:rsidR="00425B2E" w:rsidRPr="00425B2E" w:rsidRDefault="00425B2E" w:rsidP="00425B2E">
      <w:pPr>
        <w:widowControl/>
        <w:spacing w:before="75"/>
        <w:ind w:right="144"/>
        <w:jc w:val="center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实施细则（2020年修订）</w:t>
      </w:r>
    </w:p>
    <w:p w14:paraId="22A0384F" w14:textId="77777777" w:rsidR="004A6E5C" w:rsidRDefault="004A6E5C" w:rsidP="00425B2E">
      <w:pPr>
        <w:widowControl/>
        <w:spacing w:before="75"/>
        <w:ind w:right="144" w:firstLine="475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07139DDB" w14:textId="290E3F54" w:rsidR="00425B2E" w:rsidRPr="00425B2E" w:rsidRDefault="00425B2E" w:rsidP="00425B2E">
      <w:pPr>
        <w:widowControl/>
        <w:spacing w:before="75"/>
        <w:ind w:right="144"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为进一步规范我系研究生评奖评优工作，完善对品学兼优的研究生的评选和奖励制度，根据《浙江大学优秀研究生评选和奖励办法》（浙大发〔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2008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〕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113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号）精神，结合我系实际，特制定本实施细则。</w:t>
      </w:r>
    </w:p>
    <w:p w14:paraId="169B8F9C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一、考评标准</w:t>
      </w:r>
    </w:p>
    <w:p w14:paraId="68E11E39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（一）记实总分公式</w:t>
      </w:r>
    </w:p>
    <w:p w14:paraId="1F5166A5" w14:textId="470EE8EA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 1.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二年级硕士生：总分</w:t>
      </w:r>
      <w:r w:rsidRPr="00425B2E">
        <w:rPr>
          <w:rFonts w:ascii="Calibri" w:eastAsia="仿宋" w:hAnsi="Calibri" w:cs="Calibri"/>
          <w:kern w:val="0"/>
          <w:sz w:val="24"/>
          <w:szCs w:val="24"/>
        </w:rPr>
        <w:t> 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=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学习成绩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×0.3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＋科研成果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×0.5+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素质拓展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×0.2</w:t>
      </w:r>
    </w:p>
    <w:p w14:paraId="10DB9E0A" w14:textId="220A2D4E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 2.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其他研究生：总分</w:t>
      </w:r>
      <w:r w:rsidRPr="00425B2E">
        <w:rPr>
          <w:rFonts w:ascii="Calibri" w:eastAsia="仿宋" w:hAnsi="Calibri" w:cs="Calibri"/>
          <w:kern w:val="0"/>
          <w:sz w:val="24"/>
          <w:szCs w:val="24"/>
        </w:rPr>
        <w:t> 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=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科研成果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×0.8+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素质拓展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×0.2</w:t>
      </w:r>
    </w:p>
    <w:p w14:paraId="544A8DCB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说明：学习成绩、科研成果和素质拓展分数分别进行映射后，再行计算。</w:t>
      </w:r>
    </w:p>
    <w:p w14:paraId="4B2E8C5F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（二）加分细则</w:t>
      </w:r>
    </w:p>
    <w:p w14:paraId="53CBFA5E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</w:t>
      </w:r>
      <w:r w:rsidRPr="00425B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学习成绩</w:t>
      </w:r>
    </w:p>
    <w:p w14:paraId="5350CA87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将上一学年的成绩进行量化，学位课成绩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×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学分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×1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，非学位课成绩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×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学分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×0.8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，然后进行加权平均。</w:t>
      </w:r>
    </w:p>
    <w:p w14:paraId="5D7689D6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外语免修，成绩按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75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分计算。</w:t>
      </w:r>
    </w:p>
    <w:p w14:paraId="2792CD0E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课程成绩以五级制评定的，根据学校文件规定，按以下标准换算：优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-90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，良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-80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，中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-70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，及格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-60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45D164A8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2.</w:t>
      </w:r>
      <w:r w:rsidRPr="00425B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科研成果</w:t>
      </w:r>
    </w:p>
    <w:p w14:paraId="0D0F6151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） 基本分规则</w:t>
      </w:r>
    </w:p>
    <w:tbl>
      <w:tblPr>
        <w:tblW w:w="90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307"/>
        <w:gridCol w:w="1696"/>
        <w:gridCol w:w="2771"/>
      </w:tblGrid>
      <w:tr w:rsidR="00425B2E" w:rsidRPr="00425B2E" w14:paraId="703B5368" w14:textId="77777777" w:rsidTr="004A6E5C"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52390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21B90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82B66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基本分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5917D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所需证明材料</w:t>
            </w:r>
          </w:p>
        </w:tc>
      </w:tr>
      <w:tr w:rsidR="00425B2E" w:rsidRPr="00425B2E" w14:paraId="57257408" w14:textId="77777777" w:rsidTr="004A6E5C">
        <w:trPr>
          <w:jc w:val="center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BA54F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研究生发表论文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18A2A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：一区期刊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E2527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43656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期刊封面、底面、目录、所发表文章的全文复印件，以及检索证明</w:t>
            </w:r>
          </w:p>
        </w:tc>
      </w:tr>
      <w:tr w:rsidR="00425B2E" w:rsidRPr="00425B2E" w14:paraId="641FBB4A" w14:textId="77777777" w:rsidTr="004A6E5C">
        <w:trPr>
          <w:jc w:val="center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13B3C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A4EF4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：二区期刊；权威期刊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3BE8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43B8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25B2E" w:rsidRPr="00425B2E" w14:paraId="25AD5C7F" w14:textId="77777777" w:rsidTr="004A6E5C">
        <w:trPr>
          <w:jc w:val="center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F0BB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01086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：三区期刊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6AF4F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403D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25B2E" w:rsidRPr="00425B2E" w14:paraId="441C68AA" w14:textId="77777777" w:rsidTr="004A6E5C">
        <w:trPr>
          <w:jc w:val="center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4331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8541D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：一级期刊，应用心理学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FC7E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F448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25B2E" w:rsidRPr="00425B2E" w14:paraId="2CE5D34A" w14:textId="77777777" w:rsidTr="004A6E5C">
        <w:trPr>
          <w:jc w:val="center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1AED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DAF6B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：其他英文期刊；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EI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（全文非会议）；一级以下期刊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F73FD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17BC3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25B2E" w:rsidRPr="00425B2E" w14:paraId="706F761A" w14:textId="77777777" w:rsidTr="004A6E5C">
        <w:trPr>
          <w:jc w:val="center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837F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C48CC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国际会议论文摘要（国际一级学会及下属专业委员会主办）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193A7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2378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25B2E" w:rsidRPr="00425B2E" w14:paraId="2971038A" w14:textId="77777777" w:rsidTr="004A6E5C">
        <w:trPr>
          <w:jc w:val="center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B688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17F9D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国内专业会议摘要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9556B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ECA3B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25B2E" w:rsidRPr="00425B2E" w14:paraId="6F313996" w14:textId="77777777" w:rsidTr="004A6E5C">
        <w:trPr>
          <w:jc w:val="center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19142" w14:textId="77777777" w:rsidR="00425B2E" w:rsidRPr="00425B2E" w:rsidRDefault="00425B2E" w:rsidP="00425B2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研究生</w:t>
            </w:r>
          </w:p>
          <w:p w14:paraId="244E7FCC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发表著作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98175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著作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8693B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8+1/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万字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29BC80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个人贡献内容的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Word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电子版、出版物中的个人贡献页数（附导师签字）、出版物正文中随机一页的复印件</w:t>
            </w:r>
          </w:p>
        </w:tc>
      </w:tr>
      <w:tr w:rsidR="00425B2E" w:rsidRPr="00425B2E" w14:paraId="7EC9F026" w14:textId="77777777" w:rsidTr="004A6E5C">
        <w:trPr>
          <w:jc w:val="center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B2D72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B554A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译著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3E0C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1+1/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万字</w:t>
            </w:r>
          </w:p>
        </w:tc>
        <w:tc>
          <w:tcPr>
            <w:tcW w:w="2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33DE2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25B2E" w:rsidRPr="00425B2E" w14:paraId="00A38E55" w14:textId="77777777" w:rsidTr="004A6E5C">
        <w:trPr>
          <w:jc w:val="center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0ED4F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研究生专利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D0EF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授权发明专利第一专利人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46157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（第二专利人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×0.5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171C40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专利证明</w:t>
            </w:r>
          </w:p>
        </w:tc>
      </w:tr>
      <w:tr w:rsidR="00425B2E" w:rsidRPr="00425B2E" w14:paraId="215E98C1" w14:textId="77777777" w:rsidTr="004A6E5C">
        <w:trPr>
          <w:jc w:val="center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0682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E6278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授权其他专利第一专利人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4989B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（第二专利人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×0.5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500B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4516E706" w14:textId="77777777" w:rsidR="00425B2E" w:rsidRPr="00425B2E" w:rsidRDefault="00425B2E" w:rsidP="00425B2E">
      <w:pPr>
        <w:widowControl/>
        <w:spacing w:before="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楷体" w:eastAsia="楷体" w:hAnsi="楷体" w:cs="宋体" w:hint="eastAsia"/>
          <w:kern w:val="0"/>
          <w:sz w:val="24"/>
          <w:szCs w:val="24"/>
        </w:rPr>
        <w:t>说明：</w:t>
      </w:r>
    </w:p>
    <w:p w14:paraId="1AA9B2E4" w14:textId="77777777" w:rsidR="00425B2E" w:rsidRPr="00425B2E" w:rsidRDefault="00425B2E" w:rsidP="00425B2E">
      <w:pPr>
        <w:widowControl/>
        <w:numPr>
          <w:ilvl w:val="0"/>
          <w:numId w:val="1"/>
        </w:numPr>
        <w:spacing w:before="75"/>
        <w:ind w:left="0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楷体" w:eastAsia="楷体" w:hAnsi="楷体" w:cs="宋体" w:hint="eastAsia"/>
          <w:kern w:val="0"/>
          <w:sz w:val="24"/>
          <w:szCs w:val="24"/>
        </w:rPr>
        <w:t>期刊分区以最新发布版本为准；</w:t>
      </w:r>
    </w:p>
    <w:p w14:paraId="7B4082E8" w14:textId="77777777" w:rsidR="00425B2E" w:rsidRPr="00425B2E" w:rsidRDefault="00425B2E" w:rsidP="00425B2E">
      <w:pPr>
        <w:widowControl/>
        <w:numPr>
          <w:ilvl w:val="0"/>
          <w:numId w:val="1"/>
        </w:numPr>
        <w:spacing w:before="75"/>
        <w:ind w:left="0"/>
        <w:jc w:val="left"/>
        <w:rPr>
          <w:rFonts w:ascii="宋体" w:eastAsia="宋体" w:hAnsi="宋体" w:cs="宋体"/>
          <w:kern w:val="0"/>
          <w:szCs w:val="21"/>
        </w:rPr>
      </w:pPr>
      <w:proofErr w:type="spellStart"/>
      <w:r w:rsidRPr="00425B2E">
        <w:rPr>
          <w:rFonts w:ascii="宋体" w:eastAsia="宋体" w:hAnsi="宋体" w:cs="宋体" w:hint="eastAsia"/>
          <w:kern w:val="0"/>
          <w:sz w:val="24"/>
          <w:szCs w:val="24"/>
        </w:rPr>
        <w:t>PloS</w:t>
      </w:r>
      <w:proofErr w:type="spellEnd"/>
      <w:r w:rsidRPr="00425B2E">
        <w:rPr>
          <w:rFonts w:ascii="宋体" w:eastAsia="宋体" w:hAnsi="宋体" w:cs="宋体" w:hint="eastAsia"/>
          <w:kern w:val="0"/>
          <w:sz w:val="24"/>
          <w:szCs w:val="24"/>
        </w:rPr>
        <w:t xml:space="preserve"> One</w:t>
      </w:r>
      <w:r w:rsidRPr="00425B2E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Scientific Reports</w:t>
      </w:r>
      <w:r w:rsidRPr="00425B2E">
        <w:rPr>
          <w:rFonts w:ascii="楷体" w:eastAsia="楷体" w:hAnsi="楷体" w:cs="宋体" w:hint="eastAsia"/>
          <w:kern w:val="0"/>
          <w:sz w:val="24"/>
          <w:szCs w:val="24"/>
        </w:rPr>
        <w:t>按二区期刊计分；</w:t>
      </w:r>
    </w:p>
    <w:p w14:paraId="74EAF351" w14:textId="77777777" w:rsidR="00425B2E" w:rsidRPr="00425B2E" w:rsidRDefault="00425B2E" w:rsidP="00425B2E">
      <w:pPr>
        <w:widowControl/>
        <w:numPr>
          <w:ilvl w:val="0"/>
          <w:numId w:val="1"/>
        </w:numPr>
        <w:spacing w:before="75"/>
        <w:ind w:left="0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楷体" w:eastAsia="楷体" w:hAnsi="楷体" w:cs="宋体" w:hint="eastAsia"/>
          <w:kern w:val="0"/>
          <w:sz w:val="24"/>
          <w:szCs w:val="24"/>
        </w:rPr>
        <w:t>权威期刊和一级期刊以最新发布版本为准；</w:t>
      </w:r>
    </w:p>
    <w:p w14:paraId="74856023" w14:textId="77777777" w:rsidR="00425B2E" w:rsidRPr="00425B2E" w:rsidRDefault="00425B2E" w:rsidP="00425B2E">
      <w:pPr>
        <w:widowControl/>
        <w:numPr>
          <w:ilvl w:val="0"/>
          <w:numId w:val="1"/>
        </w:numPr>
        <w:spacing w:before="75"/>
        <w:ind w:left="0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E</w:t>
      </w:r>
      <w:r w:rsidRPr="00425B2E">
        <w:rPr>
          <w:rFonts w:ascii="楷体" w:eastAsia="楷体" w:hAnsi="楷体" w:cs="宋体" w:hint="eastAsia"/>
          <w:kern w:val="0"/>
          <w:sz w:val="24"/>
          <w:szCs w:val="24"/>
        </w:rPr>
        <w:t>类的其他英文期刊要能在最新发布的相关论文收录数据库中查询到；一级以下期刊要能在最新发布中国科学引文数据库中查询到。</w:t>
      </w:r>
    </w:p>
    <w:p w14:paraId="3BC60657" w14:textId="77777777" w:rsidR="00425B2E" w:rsidRPr="00425B2E" w:rsidRDefault="00425B2E" w:rsidP="00425B2E">
      <w:pPr>
        <w:widowControl/>
        <w:spacing w:before="24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）发表论文或著作的分数折算规则</w:t>
      </w:r>
    </w:p>
    <w:tbl>
      <w:tblPr>
        <w:tblW w:w="98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268"/>
        <w:gridCol w:w="2135"/>
      </w:tblGrid>
      <w:tr w:rsidR="00425B2E" w:rsidRPr="00425B2E" w14:paraId="039C78BB" w14:textId="77777777" w:rsidTr="004A6E5C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E198A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本人与论文的关系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6861E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条件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41592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 w:rsidR="00425B2E" w:rsidRPr="00425B2E" w14:paraId="7876BD73" w14:textId="77777777" w:rsidTr="004A6E5C">
        <w:trPr>
          <w:trHeight w:val="10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0469F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第一作者</w:t>
            </w:r>
            <w:r w:rsidRPr="00425B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通讯作者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20D70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A6D0F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基础分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×1</w:t>
            </w:r>
          </w:p>
        </w:tc>
      </w:tr>
      <w:tr w:rsidR="00425B2E" w:rsidRPr="00425B2E" w14:paraId="631E46DA" w14:textId="77777777" w:rsidTr="004A6E5C">
        <w:trPr>
          <w:jc w:val="center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EDF48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第二作者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8CCC3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第一作者是本人导师或副导师（</w:t>
            </w:r>
            <w:proofErr w:type="gramStart"/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导师组需事先</w:t>
            </w:r>
            <w:proofErr w:type="gramEnd"/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上报，合作导师由导师认定）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41534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基础分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×0.9</w:t>
            </w:r>
          </w:p>
        </w:tc>
      </w:tr>
      <w:tr w:rsidR="00425B2E" w:rsidRPr="00425B2E" w14:paraId="3A6617E7" w14:textId="77777777" w:rsidTr="004A6E5C">
        <w:trPr>
          <w:jc w:val="center"/>
        </w:trPr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106AB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B9900F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第一作者是除本人导师或副导师以外的其他人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8634B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基础分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×0.25</w:t>
            </w:r>
          </w:p>
        </w:tc>
      </w:tr>
      <w:tr w:rsidR="00425B2E" w:rsidRPr="00425B2E" w14:paraId="1577641E" w14:textId="77777777" w:rsidTr="004A6E5C">
        <w:trPr>
          <w:trHeight w:val="24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FC2B8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第三作者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CE09D2" w14:textId="77777777" w:rsidR="00425B2E" w:rsidRPr="00425B2E" w:rsidRDefault="00425B2E" w:rsidP="00425B2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第一作者是本人导师或</w:t>
            </w:r>
          </w:p>
          <w:p w14:paraId="095BBC9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副导师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5EDE00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基础分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×0.9×0.25</w:t>
            </w:r>
          </w:p>
        </w:tc>
      </w:tr>
    </w:tbl>
    <w:p w14:paraId="20489CA1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楷体" w:eastAsia="楷体" w:hAnsi="楷体" w:cs="宋体" w:hint="eastAsia"/>
          <w:kern w:val="0"/>
          <w:sz w:val="24"/>
          <w:szCs w:val="24"/>
        </w:rPr>
        <w:t>说明：除上述所列情况，其它情况均不予加分。</w:t>
      </w:r>
    </w:p>
    <w:p w14:paraId="1CAD9C24" w14:textId="77777777" w:rsidR="00425B2E" w:rsidRPr="00425B2E" w:rsidRDefault="00425B2E" w:rsidP="00425B2E">
      <w:pPr>
        <w:widowControl/>
        <w:spacing w:before="24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）计分规则</w:t>
      </w:r>
    </w:p>
    <w:p w14:paraId="4B4BC7C7" w14:textId="6A8763CC" w:rsidR="00425B2E" w:rsidRPr="00425B2E" w:rsidRDefault="00425B2E" w:rsidP="00425B2E">
      <w:pPr>
        <w:widowControl/>
        <w:numPr>
          <w:ilvl w:val="0"/>
          <w:numId w:val="2"/>
        </w:numPr>
        <w:spacing w:before="75"/>
        <w:ind w:left="0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有效时间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：在评奖评优学年内（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4A6E5C">
        <w:rPr>
          <w:rFonts w:ascii="宋体" w:eastAsia="宋体" w:hAnsi="宋体" w:cs="宋体"/>
          <w:kern w:val="0"/>
          <w:sz w:val="24"/>
          <w:szCs w:val="24"/>
        </w:rPr>
        <w:t>20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-202</w:t>
      </w:r>
      <w:r w:rsidR="004A6E5C">
        <w:rPr>
          <w:rFonts w:ascii="宋体" w:eastAsia="宋体" w:hAnsi="宋体" w:cs="宋体"/>
          <w:kern w:val="0"/>
          <w:sz w:val="24"/>
          <w:szCs w:val="24"/>
        </w:rPr>
        <w:t>1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月之间）的以浙江大学为第一单位公开发表的论文有效。</w:t>
      </w:r>
    </w:p>
    <w:p w14:paraId="353BE7B3" w14:textId="77777777" w:rsidR="00425B2E" w:rsidRPr="00425B2E" w:rsidRDefault="00425B2E" w:rsidP="00425B2E">
      <w:pPr>
        <w:widowControl/>
        <w:numPr>
          <w:ilvl w:val="0"/>
          <w:numId w:val="2"/>
        </w:numPr>
        <w:spacing w:before="75"/>
        <w:ind w:left="0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申报材料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：学生必须在申报表中注明姓名、几作、发表期刊、期刊分区（以最新发布版本为准）、文章等级、申请分数等信息。学生必须提供上表所列的全部证明材料。对于已录用的成果，必须提供录用证明（录用证明是正式的录用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函，盖有编辑社的印章；如果是信函通知录用的，请导师签字后方有效；专利需出具专利局的授权通知书）。</w:t>
      </w:r>
    </w:p>
    <w:p w14:paraId="56347FAA" w14:textId="77777777" w:rsidR="00425B2E" w:rsidRPr="00425B2E" w:rsidRDefault="00425B2E" w:rsidP="00425B2E">
      <w:pPr>
        <w:widowControl/>
        <w:numPr>
          <w:ilvl w:val="0"/>
          <w:numId w:val="2"/>
        </w:numPr>
        <w:spacing w:before="75"/>
        <w:ind w:left="0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分数累加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：以上发表论文类别中，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D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类及以上分值可以累加，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E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类加分最多不超过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分，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F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类加分最多不超过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16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分，会议论文摘要加分最多不超过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分；发表论文以质量优先，同等情况下考虑数量。</w:t>
      </w:r>
    </w:p>
    <w:p w14:paraId="37127B18" w14:textId="77777777" w:rsidR="00425B2E" w:rsidRPr="00425B2E" w:rsidRDefault="00425B2E" w:rsidP="00425B2E">
      <w:pPr>
        <w:widowControl/>
        <w:numPr>
          <w:ilvl w:val="0"/>
          <w:numId w:val="2"/>
        </w:numPr>
        <w:spacing w:before="75"/>
        <w:ind w:left="0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禁止重复申报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：已经在上学年评奖时作为申报材料使用过的论文，不能再次进行申报，否则一经查实取消本年度评奖资格。</w:t>
      </w:r>
    </w:p>
    <w:p w14:paraId="5B09157E" w14:textId="77777777" w:rsidR="00425B2E" w:rsidRPr="00425B2E" w:rsidRDefault="00425B2E" w:rsidP="00425B2E">
      <w:pPr>
        <w:widowControl/>
        <w:numPr>
          <w:ilvl w:val="0"/>
          <w:numId w:val="2"/>
        </w:numPr>
        <w:spacing w:before="75"/>
        <w:ind w:left="0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具体加分情况由系奖学金评审委员会根据情况最终确定。</w:t>
      </w:r>
    </w:p>
    <w:p w14:paraId="068A7172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3.</w:t>
      </w:r>
      <w:r w:rsidRPr="00425B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素质拓展</w:t>
      </w:r>
    </w:p>
    <w:p w14:paraId="082EE0C2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素质拓展分为社会工作类、文体竞赛类、其他重要赛事以及活动组织参与类，均需在评奖评优时间内参与或获得方予以加分。其中，社会工作类、文体竞赛类和其他重要赛事的得分均不累加，每一类按得分最高项计算。活动组织参与类的得分可累加，但总计最高不得超过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分。</w:t>
      </w:r>
    </w:p>
    <w:p w14:paraId="09712AC0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） 社会工作类</w:t>
      </w:r>
    </w:p>
    <w:tbl>
      <w:tblPr>
        <w:tblW w:w="93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4404"/>
        <w:gridCol w:w="1424"/>
      </w:tblGrid>
      <w:tr w:rsidR="00425B2E" w:rsidRPr="00425B2E" w14:paraId="1CAF4E85" w14:textId="77777777" w:rsidTr="004A6E5C">
        <w:trPr>
          <w:jc w:val="center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1CB0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组织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6F674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9A657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 w:rsidR="00425B2E" w:rsidRPr="00425B2E" w14:paraId="2E934638" w14:textId="77777777" w:rsidTr="004A6E5C">
        <w:trPr>
          <w:jc w:val="center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401FC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兼职辅导员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CE6D4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兼职辅导员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03B64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25B2E" w:rsidRPr="00425B2E" w14:paraId="06503A82" w14:textId="77777777" w:rsidTr="004A6E5C">
        <w:trPr>
          <w:jc w:val="center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9927B" w14:textId="77777777" w:rsidR="00425B2E" w:rsidRPr="00425B2E" w:rsidRDefault="00425B2E" w:rsidP="00425B2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校级学生组织</w:t>
            </w:r>
          </w:p>
          <w:p w14:paraId="1B75651B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（团委、</w:t>
            </w:r>
            <w:proofErr w:type="gramStart"/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博会）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49048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主席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副主席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FDAF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4/3/2</w:t>
            </w:r>
          </w:p>
        </w:tc>
      </w:tr>
      <w:tr w:rsidR="00425B2E" w:rsidRPr="00425B2E" w14:paraId="6351D189" w14:textId="77777777" w:rsidTr="004A6E5C">
        <w:trPr>
          <w:jc w:val="center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1529A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系</w:t>
            </w:r>
            <w:proofErr w:type="gramStart"/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博会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学生团队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AB02C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主席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副主席（部长）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54CD8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4/3</w:t>
            </w:r>
          </w:p>
        </w:tc>
      </w:tr>
      <w:tr w:rsidR="00425B2E" w:rsidRPr="00425B2E" w14:paraId="46AF4B8A" w14:textId="77777777" w:rsidTr="004A6E5C">
        <w:trPr>
          <w:jc w:val="center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05128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班线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643F2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班长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副班长（班委）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981A3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2/1</w:t>
            </w:r>
          </w:p>
        </w:tc>
      </w:tr>
      <w:tr w:rsidR="00425B2E" w:rsidRPr="00425B2E" w14:paraId="51465BFE" w14:textId="77777777" w:rsidTr="004A6E5C">
        <w:trPr>
          <w:trHeight w:val="255"/>
          <w:jc w:val="center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1DAC1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团线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1EDFC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挂职团委副书记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团支书（团支委）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3CE84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4/2/1</w:t>
            </w:r>
          </w:p>
        </w:tc>
      </w:tr>
      <w:tr w:rsidR="00425B2E" w:rsidRPr="00425B2E" w14:paraId="20D6AA88" w14:textId="77777777" w:rsidTr="004A6E5C">
        <w:trPr>
          <w:jc w:val="center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40867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党线</w:t>
            </w:r>
            <w:proofErr w:type="gramEnd"/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304D3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党支书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CEF56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4/3</w:t>
            </w:r>
          </w:p>
        </w:tc>
      </w:tr>
    </w:tbl>
    <w:p w14:paraId="6658F9A6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注：评奖评优学年内的担任时间满一年才予加分。</w:t>
      </w:r>
    </w:p>
    <w:p w14:paraId="7E6E31C3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</w:p>
    <w:p w14:paraId="64780B96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）文体竞赛类</w:t>
      </w:r>
    </w:p>
    <w:tbl>
      <w:tblPr>
        <w:tblW w:w="85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2652"/>
        <w:gridCol w:w="2973"/>
      </w:tblGrid>
      <w:tr w:rsidR="00425B2E" w:rsidRPr="00425B2E" w14:paraId="2D6A3C43" w14:textId="77777777" w:rsidTr="004A6E5C">
        <w:trPr>
          <w:jc w:val="center"/>
        </w:trPr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15C2C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竞赛类型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9E64A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所获奖项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48AB5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 w:rsidR="00425B2E" w:rsidRPr="00425B2E" w14:paraId="314A1AE1" w14:textId="77777777" w:rsidTr="004A6E5C">
        <w:trPr>
          <w:jc w:val="center"/>
        </w:trPr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6AF94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AA76B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587DF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25B2E" w:rsidRPr="00425B2E" w14:paraId="4E2D82CC" w14:textId="77777777" w:rsidTr="004A6E5C">
        <w:trPr>
          <w:jc w:val="center"/>
        </w:trPr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5EB4E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50C057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F9B81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25B2E" w:rsidRPr="00425B2E" w14:paraId="74448FBD" w14:textId="77777777" w:rsidTr="004A6E5C">
        <w:trPr>
          <w:jc w:val="center"/>
        </w:trPr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FAB45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A43C4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69DE7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25B2E" w:rsidRPr="00425B2E" w14:paraId="4F8490A9" w14:textId="77777777" w:rsidTr="004A6E5C">
        <w:trPr>
          <w:jc w:val="center"/>
        </w:trPr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B4A4A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D997A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5B7AE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25B2E" w:rsidRPr="00425B2E" w14:paraId="1D3EC683" w14:textId="77777777" w:rsidTr="004A6E5C">
        <w:trPr>
          <w:jc w:val="center"/>
        </w:trPr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8660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5E8B0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CA3A6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25B2E" w:rsidRPr="00425B2E" w14:paraId="475E5FF2" w14:textId="77777777" w:rsidTr="004A6E5C">
        <w:trPr>
          <w:jc w:val="center"/>
        </w:trPr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253B4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1D823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AD95F3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25B2E" w:rsidRPr="00425B2E" w14:paraId="1879E1BB" w14:textId="77777777" w:rsidTr="004A6E5C">
        <w:trPr>
          <w:jc w:val="center"/>
        </w:trPr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3AA7F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校级（春季、秋季校运会，</w:t>
            </w:r>
            <w:proofErr w:type="gramStart"/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三好杯</w:t>
            </w:r>
            <w:proofErr w:type="gramEnd"/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08CF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一等（前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D0732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（团体赛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×0.8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425B2E" w:rsidRPr="00425B2E" w14:paraId="2E1DBC3E" w14:textId="77777777" w:rsidTr="004A6E5C">
        <w:trPr>
          <w:jc w:val="center"/>
        </w:trPr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5913D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317D85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二等（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4-5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91F2B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（团体赛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×0.8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425B2E" w:rsidRPr="00425B2E" w14:paraId="1D01BDE6" w14:textId="77777777" w:rsidTr="004A6E5C">
        <w:trPr>
          <w:jc w:val="center"/>
        </w:trPr>
        <w:tc>
          <w:tcPr>
            <w:tcW w:w="2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B67AC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50076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三等（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6-8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FF7395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（团体赛</w:t>
            </w: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×0.8</w:t>
            </w: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66DEDED2" w14:textId="77777777" w:rsidR="00425B2E" w:rsidRPr="00425B2E" w:rsidRDefault="00425B2E" w:rsidP="00425B2E">
      <w:pPr>
        <w:widowControl/>
        <w:spacing w:before="75"/>
        <w:jc w:val="left"/>
        <w:rPr>
          <w:rFonts w:ascii="宋体" w:eastAsia="宋体" w:hAnsi="宋体" w:cs="宋体"/>
          <w:kern w:val="0"/>
          <w:szCs w:val="21"/>
        </w:rPr>
      </w:pPr>
    </w:p>
    <w:p w14:paraId="0F170CF6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）其他重要赛事</w:t>
      </w:r>
    </w:p>
    <w:p w14:paraId="0258F7B6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kern w:val="0"/>
          <w:szCs w:val="21"/>
        </w:rPr>
        <w:t> “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挑战杯”全国大学生课外学术科技作品竞赛、“互联网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+”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全国大学生创新创业大赛等重要赛事。</w:t>
      </w:r>
    </w:p>
    <w:tbl>
      <w:tblPr>
        <w:tblW w:w="6700" w:type="dxa"/>
        <w:tblInd w:w="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2523"/>
        <w:gridCol w:w="2693"/>
      </w:tblGrid>
      <w:tr w:rsidR="00425B2E" w:rsidRPr="00425B2E" w14:paraId="6ACABAD7" w14:textId="77777777" w:rsidTr="004A6E5C"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3B964" w14:textId="77777777" w:rsidR="00425B2E" w:rsidRPr="00425B2E" w:rsidRDefault="00425B2E" w:rsidP="00425B2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78BF49E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4203A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C507D7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25B2E" w:rsidRPr="00425B2E" w14:paraId="5F1CC455" w14:textId="77777777" w:rsidTr="004A6E5C"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ADFB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57B54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93D2E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25B2E" w:rsidRPr="00425B2E" w14:paraId="2CEE8C41" w14:textId="77777777" w:rsidTr="004A6E5C"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DAAD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60AF8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FAA21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25B2E" w:rsidRPr="00425B2E" w14:paraId="7011753B" w14:textId="77777777" w:rsidTr="004A6E5C"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77267" w14:textId="77777777" w:rsidR="00425B2E" w:rsidRPr="00425B2E" w:rsidRDefault="00425B2E" w:rsidP="00425B2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53CBCA0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D0C7C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4BA07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25B2E" w:rsidRPr="00425B2E" w14:paraId="7CE3AF34" w14:textId="77777777" w:rsidTr="004A6E5C"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5EB4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D0C6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1FCFF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25B2E" w:rsidRPr="00425B2E" w14:paraId="510130A4" w14:textId="77777777" w:rsidTr="004A6E5C"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65BC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CC346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C366F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25B2E" w:rsidRPr="00425B2E" w14:paraId="7B9B452F" w14:textId="77777777" w:rsidTr="004A6E5C"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B3E835" w14:textId="77777777" w:rsidR="00425B2E" w:rsidRPr="00425B2E" w:rsidRDefault="00425B2E" w:rsidP="00425B2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1E010EB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5F525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A43E3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25B2E" w:rsidRPr="00425B2E" w14:paraId="76FC6362" w14:textId="77777777" w:rsidTr="004A6E5C"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A2798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DAE17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C60DA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25B2E" w:rsidRPr="00425B2E" w14:paraId="3CD6E7EE" w14:textId="77777777" w:rsidTr="004A6E5C"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9EC9" w14:textId="77777777" w:rsidR="00425B2E" w:rsidRPr="00425B2E" w:rsidRDefault="00425B2E" w:rsidP="00425B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416C59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E65851" w14:textId="77777777" w:rsidR="00425B2E" w:rsidRPr="00425B2E" w:rsidRDefault="00425B2E" w:rsidP="00425B2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B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14:paraId="1B8C5A66" w14:textId="77777777" w:rsidR="00425B2E" w:rsidRPr="00425B2E" w:rsidRDefault="00425B2E" w:rsidP="00425B2E">
      <w:pPr>
        <w:widowControl/>
        <w:spacing w:before="75"/>
        <w:ind w:firstLine="446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3"/>
          <w:szCs w:val="23"/>
        </w:rPr>
        <w:t>注：</w:t>
      </w:r>
    </w:p>
    <w:p w14:paraId="7274B2B9" w14:textId="77777777" w:rsidR="00425B2E" w:rsidRPr="00425B2E" w:rsidRDefault="00425B2E" w:rsidP="00425B2E">
      <w:pPr>
        <w:widowControl/>
        <w:spacing w:before="75"/>
        <w:ind w:firstLine="446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kern w:val="0"/>
          <w:sz w:val="23"/>
          <w:szCs w:val="23"/>
        </w:rPr>
        <w:t> 1.</w:t>
      </w:r>
      <w:r w:rsidRPr="00425B2E">
        <w:rPr>
          <w:rFonts w:ascii="仿宋" w:eastAsia="仿宋" w:hAnsi="仿宋" w:cs="宋体" w:hint="eastAsia"/>
          <w:kern w:val="0"/>
          <w:sz w:val="23"/>
          <w:szCs w:val="23"/>
        </w:rPr>
        <w:t>如为团队获奖，则排序前三位方可加分，第二位</w:t>
      </w:r>
      <w:r w:rsidRPr="00425B2E">
        <w:rPr>
          <w:rFonts w:ascii="宋体" w:eastAsia="宋体" w:hAnsi="宋体" w:cs="宋体" w:hint="eastAsia"/>
          <w:kern w:val="0"/>
          <w:sz w:val="23"/>
          <w:szCs w:val="23"/>
        </w:rPr>
        <w:t>*0.8</w:t>
      </w:r>
      <w:r w:rsidRPr="00425B2E">
        <w:rPr>
          <w:rFonts w:ascii="仿宋" w:eastAsia="仿宋" w:hAnsi="仿宋" w:cs="宋体" w:hint="eastAsia"/>
          <w:kern w:val="0"/>
          <w:sz w:val="23"/>
          <w:szCs w:val="23"/>
        </w:rPr>
        <w:t>，第三位</w:t>
      </w:r>
      <w:r w:rsidRPr="00425B2E">
        <w:rPr>
          <w:rFonts w:ascii="宋体" w:eastAsia="宋体" w:hAnsi="宋体" w:cs="宋体" w:hint="eastAsia"/>
          <w:kern w:val="0"/>
          <w:sz w:val="23"/>
          <w:szCs w:val="23"/>
        </w:rPr>
        <w:t>*0.5</w:t>
      </w:r>
    </w:p>
    <w:p w14:paraId="01F961D7" w14:textId="77777777" w:rsidR="00425B2E" w:rsidRPr="00425B2E" w:rsidRDefault="00425B2E" w:rsidP="00425B2E">
      <w:pPr>
        <w:widowControl/>
        <w:spacing w:before="75"/>
        <w:ind w:firstLine="446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宋体" w:eastAsia="宋体" w:hAnsi="宋体" w:cs="宋体" w:hint="eastAsia"/>
          <w:kern w:val="0"/>
          <w:sz w:val="23"/>
          <w:szCs w:val="23"/>
        </w:rPr>
        <w:t> 2.</w:t>
      </w:r>
      <w:r w:rsidRPr="00425B2E">
        <w:rPr>
          <w:rFonts w:ascii="仿宋" w:eastAsia="仿宋" w:hAnsi="仿宋" w:cs="宋体" w:hint="eastAsia"/>
          <w:kern w:val="0"/>
          <w:sz w:val="23"/>
          <w:szCs w:val="23"/>
        </w:rPr>
        <w:t>学校另有文件规定的，按规定执行。</w:t>
      </w:r>
    </w:p>
    <w:p w14:paraId="572B27AE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）活动组织参与类</w:t>
      </w:r>
    </w:p>
    <w:p w14:paraId="2D9E2F5B" w14:textId="77777777" w:rsidR="00425B2E" w:rsidRPr="00425B2E" w:rsidRDefault="00425B2E" w:rsidP="00425B2E">
      <w:pPr>
        <w:widowControl/>
        <w:spacing w:before="75"/>
        <w:ind w:firstLine="475"/>
        <w:jc w:val="left"/>
        <w:rPr>
          <w:rFonts w:ascii="宋体" w:eastAsia="宋体" w:hAnsi="宋体" w:cs="宋体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参与心理系认可的活动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0.25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分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/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次，组织系里主要活动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0.5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分</w:t>
      </w:r>
      <w:r w:rsidRPr="00425B2E">
        <w:rPr>
          <w:rFonts w:ascii="宋体" w:eastAsia="宋体" w:hAnsi="宋体" w:cs="宋体" w:hint="eastAsia"/>
          <w:kern w:val="0"/>
          <w:sz w:val="24"/>
          <w:szCs w:val="24"/>
        </w:rPr>
        <w:t>/</w:t>
      </w: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次（由评审委员会最终审定）。活动内容与任职工作重复的，由评审委员会审定是否可以重复计分。</w:t>
      </w:r>
    </w:p>
    <w:p w14:paraId="0C672461" w14:textId="6C2091D1" w:rsidR="00425B2E" w:rsidRPr="00425B2E" w:rsidRDefault="00425B2E" w:rsidP="004A6E5C">
      <w:pPr>
        <w:widowControl/>
        <w:spacing w:before="75"/>
        <w:ind w:firstLine="475"/>
        <w:jc w:val="left"/>
        <w:rPr>
          <w:rFonts w:ascii="宋体" w:eastAsia="宋体" w:hAnsi="宋体" w:cs="宋体" w:hint="eastAsia"/>
          <w:kern w:val="0"/>
          <w:szCs w:val="21"/>
        </w:rPr>
      </w:pPr>
      <w:r w:rsidRPr="00425B2E">
        <w:rPr>
          <w:rFonts w:ascii="仿宋" w:eastAsia="仿宋" w:hAnsi="仿宋" w:cs="宋体" w:hint="eastAsia"/>
          <w:kern w:val="0"/>
          <w:sz w:val="24"/>
          <w:szCs w:val="24"/>
        </w:rPr>
        <w:t>以上每一项是否加分由心理系奖学金评审委员会最终审定。</w:t>
      </w:r>
      <w:r w:rsidR="004A6E5C" w:rsidRPr="00425B2E">
        <w:rPr>
          <w:rFonts w:ascii="仿宋" w:eastAsia="仿宋" w:hAnsi="仿宋" w:cs="宋体" w:hint="eastAsia"/>
          <w:kern w:val="0"/>
          <w:sz w:val="24"/>
          <w:szCs w:val="24"/>
        </w:rPr>
        <w:t>最终解释权归属心理系奖学金评审委员会。</w:t>
      </w:r>
    </w:p>
    <w:p w14:paraId="53D04A24" w14:textId="3886DE63" w:rsidR="00846471" w:rsidRPr="004A6E5C" w:rsidRDefault="00846471" w:rsidP="004A6E5C">
      <w:pPr>
        <w:widowControl/>
        <w:spacing w:before="75"/>
        <w:ind w:firstLine="475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</w:p>
    <w:sectPr w:rsidR="00846471" w:rsidRPr="004A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504F9" w14:textId="77777777" w:rsidR="00A41338" w:rsidRDefault="00A41338" w:rsidP="004A6E5C">
      <w:r>
        <w:separator/>
      </w:r>
    </w:p>
  </w:endnote>
  <w:endnote w:type="continuationSeparator" w:id="0">
    <w:p w14:paraId="69348DE7" w14:textId="77777777" w:rsidR="00A41338" w:rsidRDefault="00A41338" w:rsidP="004A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3FA2" w14:textId="77777777" w:rsidR="00A41338" w:rsidRDefault="00A41338" w:rsidP="004A6E5C">
      <w:r>
        <w:separator/>
      </w:r>
    </w:p>
  </w:footnote>
  <w:footnote w:type="continuationSeparator" w:id="0">
    <w:p w14:paraId="131AB87D" w14:textId="77777777" w:rsidR="00A41338" w:rsidRDefault="00A41338" w:rsidP="004A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536A6"/>
    <w:multiLevelType w:val="multilevel"/>
    <w:tmpl w:val="85DE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E5AA5"/>
    <w:multiLevelType w:val="multilevel"/>
    <w:tmpl w:val="5FD4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2E"/>
    <w:rsid w:val="00425B2E"/>
    <w:rsid w:val="004A6E5C"/>
    <w:rsid w:val="00846471"/>
    <w:rsid w:val="00A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988F8"/>
  <w15:chartTrackingRefBased/>
  <w15:docId w15:val="{58555A6D-4445-47FD-9045-2E56F1CF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5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25B2E"/>
    <w:rPr>
      <w:b/>
      <w:bCs/>
    </w:rPr>
  </w:style>
  <w:style w:type="paragraph" w:styleId="a4">
    <w:name w:val="Normal (Web)"/>
    <w:basedOn w:val="a"/>
    <w:uiPriority w:val="99"/>
    <w:semiHidden/>
    <w:unhideWhenUsed/>
    <w:rsid w:val="00425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25B2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A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6E5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6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luzh90@163.com</dc:creator>
  <cp:keywords/>
  <dc:description/>
  <cp:lastModifiedBy>LYN</cp:lastModifiedBy>
  <cp:revision>2</cp:revision>
  <dcterms:created xsi:type="dcterms:W3CDTF">2020-09-21T03:34:00Z</dcterms:created>
  <dcterms:modified xsi:type="dcterms:W3CDTF">2021-09-23T05:28:00Z</dcterms:modified>
</cp:coreProperties>
</file>