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7E" w:rsidRDefault="00965A9A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bookmarkStart w:id="0" w:name="_GoBack"/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1400810</wp:posOffset>
                </wp:positionV>
                <wp:extent cx="6484620" cy="7848600"/>
                <wp:effectExtent l="0" t="0" r="11430" b="19050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78486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AE567E" w:rsidRDefault="00873A5F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AE567E" w:rsidRPr="00965A9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201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4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-201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7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 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德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国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●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马克斯普朗克人类发展研究所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/>
                              </w:rPr>
                              <w:t>博士后</w:t>
                            </w:r>
                          </w:p>
                          <w:p w:rsidR="00AE567E" w:rsidRPr="00965A9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201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0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-201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4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 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美国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●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印第安纳大学心理系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 xml:space="preserve">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博士</w:t>
                            </w:r>
                          </w:p>
                          <w:p w:rsidR="00FB549C" w:rsidRPr="00965A9A" w:rsidRDefault="00FB549C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 xml:space="preserve">2011-2013                     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美国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●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/>
                              </w:rPr>
                              <w:t xml:space="preserve">印第安纳大学统计系              </w:t>
                            </w:r>
                            <w:r w:rsidRPr="00965A9A">
                              <w:rPr>
                                <w:rStyle w:val="a6"/>
                                <w:rFonts w:ascii="微软雅黑" w:eastAsia="PMingLiU" w:hAnsi="微软雅黑" w:cs="微软雅黑"/>
                                <w:kern w:val="24"/>
                                <w:sz w:val="28"/>
                                <w:lang w:val="zh-TW" w:eastAsia="zh-TW"/>
                              </w:rPr>
                              <w:t xml:space="preserve">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/>
                              </w:rPr>
                              <w:t>硕士</w:t>
                            </w:r>
                          </w:p>
                          <w:p w:rsidR="00AE567E" w:rsidRPr="00965A9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20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07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-201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0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 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美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国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●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南达科塔大学心理系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 xml:space="preserve">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硕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士</w:t>
                            </w:r>
                          </w:p>
                          <w:p w:rsidR="00AE567E" w:rsidRPr="00965A9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200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2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-20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05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 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中国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●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华东师范大学心理系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</w:t>
                            </w:r>
                            <w:r w:rsidR="00FB549C"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 xml:space="preserve">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硕士</w:t>
                            </w:r>
                          </w:p>
                          <w:p w:rsidR="00AE567E" w:rsidRPr="00965A9A" w:rsidRDefault="00FB549C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</w:pP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1998</w:t>
                            </w:r>
                            <w:r w:rsidR="00873A5F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-200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>2</w:t>
                            </w:r>
                            <w:r w:rsidR="00873A5F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   </w:t>
                            </w:r>
                            <w:r w:rsidR="00873A5F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lang w:val="zh-TW" w:eastAsia="zh-TW"/>
                              </w:rPr>
                              <w:t>中国●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复旦大学物理系 </w:t>
                            </w:r>
                            <w:r w:rsidR="00873A5F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 xml:space="preserve">                    </w:t>
                            </w:r>
                            <w:r w:rsidRPr="00965A9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</w:rPr>
                              <w:t xml:space="preserve">  </w:t>
                            </w:r>
                            <w:r w:rsidR="00873A5F" w:rsidRPr="00965A9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</w:rPr>
                              <w:t>学士</w:t>
                            </w:r>
                          </w:p>
                          <w:p w:rsidR="00AE567E" w:rsidRDefault="00873A5F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:rsidR="00965A9A" w:rsidRPr="00965A9A" w:rsidRDefault="00FB549C" w:rsidP="00965A9A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 w:line="360" w:lineRule="auto"/>
                              <w:ind w:firstLineChars="0"/>
                              <w:jc w:val="left"/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</w:pPr>
                            <w:r w:rsidRPr="00965A9A">
                              <w:rPr>
                                <w:rFonts w:ascii="Times New Roman" w:eastAsia="楷体" w:hAnsi="Times New Roman" w:cs="Times New Roman"/>
                                <w:b/>
                                <w:sz w:val="28"/>
                                <w:szCs w:val="24"/>
                              </w:rPr>
                              <w:t>Dai, J.,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 &amp; </w:t>
                            </w:r>
                            <w:proofErr w:type="spellStart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Busemeyer</w:t>
                            </w:r>
                            <w:proofErr w:type="spellEnd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, J. R. (2014). A probabilistic, dynamic, and attribute-wise model of intertemporal choice.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i/>
                                <w:iCs/>
                                <w:sz w:val="28"/>
                                <w:szCs w:val="24"/>
                              </w:rPr>
                              <w:t xml:space="preserve">Journal of Experimental Psychology: General. 143,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1489—1514.</w:t>
                            </w:r>
                          </w:p>
                          <w:p w:rsidR="00AE567E" w:rsidRPr="00965A9A" w:rsidRDefault="00965A9A" w:rsidP="00965A9A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 w:line="360" w:lineRule="auto"/>
                              <w:ind w:firstLineChars="0"/>
                              <w:jc w:val="left"/>
                              <w:rPr>
                                <w:rFonts w:ascii="Times New Roman" w:eastAsia="微软雅黑" w:hAnsi="Times New Roman" w:cs="Times New Roman"/>
                                <w:i/>
                                <w:sz w:val="28"/>
                                <w:szCs w:val="24"/>
                              </w:rPr>
                            </w:pPr>
                            <w:r w:rsidRPr="00965A9A">
                              <w:rPr>
                                <w:rFonts w:ascii="Times New Roman" w:eastAsia="楷体" w:hAnsi="Times New Roman" w:cs="Times New Roman"/>
                                <w:b/>
                                <w:sz w:val="28"/>
                                <w:szCs w:val="24"/>
                              </w:rPr>
                              <w:t>D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b/>
                                <w:sz w:val="28"/>
                                <w:szCs w:val="24"/>
                              </w:rPr>
                              <w:t>ai, J.,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Pleskac</w:t>
                            </w:r>
                            <w:proofErr w:type="spellEnd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, T., &amp; </w:t>
                            </w:r>
                            <w:proofErr w:type="spellStart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Pachur</w:t>
                            </w:r>
                            <w:proofErr w:type="spellEnd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, T. (accepted). Dynamic cognitive models of intertemporal choice.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i/>
                                <w:sz w:val="28"/>
                                <w:szCs w:val="24"/>
                              </w:rPr>
                              <w:t>Cognitive Psychology.</w:t>
                            </w:r>
                            <w:r w:rsidR="00873A5F" w:rsidRPr="00965A9A">
                              <w:rPr>
                                <w:rFonts w:ascii="Times New Roman" w:eastAsia="微软雅黑" w:hAnsi="Times New Roman" w:cs="Times New Roman"/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  <w:p w:rsidR="00AE567E" w:rsidRPr="00965A9A" w:rsidRDefault="00965A9A" w:rsidP="00965A9A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 w:line="360" w:lineRule="auto"/>
                              <w:ind w:firstLineChars="0"/>
                              <w:jc w:val="left"/>
                              <w:rPr>
                                <w:rFonts w:ascii="Times New Roman" w:eastAsia="微软雅黑" w:hAnsi="Times New Roman" w:cs="Times New Roman"/>
                                <w:i/>
                                <w:sz w:val="28"/>
                                <w:szCs w:val="24"/>
                              </w:rPr>
                            </w:pPr>
                            <w:r w:rsidRPr="00965A9A">
                              <w:rPr>
                                <w:rFonts w:ascii="Times New Roman" w:eastAsia="楷体" w:hAnsi="Times New Roman" w:cs="Times New Roman"/>
                                <w:b/>
                                <w:sz w:val="28"/>
                                <w:szCs w:val="24"/>
                              </w:rPr>
                              <w:t>Dai, J.,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 Gunn, R. L., </w:t>
                            </w:r>
                            <w:proofErr w:type="spellStart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Gerst</w:t>
                            </w:r>
                            <w:proofErr w:type="spellEnd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, K. R., </w:t>
                            </w:r>
                            <w:proofErr w:type="spellStart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Busemeyer</w:t>
                            </w:r>
                            <w:proofErr w:type="spellEnd"/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, J. R., &amp; Finn, P. R. (2016). A random utility model of delay discounting and its application to people with externalizing psychopathology.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i/>
                                <w:iCs/>
                                <w:sz w:val="28"/>
                                <w:szCs w:val="24"/>
                              </w:rPr>
                              <w:t xml:space="preserve">Psychological Assessment. 28,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>1198—1206.</w:t>
                            </w:r>
                            <w:r w:rsidR="00873A5F" w:rsidRPr="00965A9A">
                              <w:rPr>
                                <w:rFonts w:ascii="Times New Roman" w:eastAsia="微软雅黑" w:hAnsi="Times New Roman" w:cs="Times New Roman"/>
                                <w:color w:val="222222"/>
                                <w:sz w:val="28"/>
                                <w:szCs w:val="24"/>
                                <w:shd w:val="clear" w:color="auto" w:fill="FFFFFF"/>
                              </w:rPr>
                              <w:t xml:space="preserve">    </w:t>
                            </w:r>
                          </w:p>
                          <w:p w:rsidR="00965A9A" w:rsidRPr="00965A9A" w:rsidRDefault="00965A9A" w:rsidP="00965A9A">
                            <w:pPr>
                              <w:pStyle w:val="a8"/>
                              <w:numPr>
                                <w:ilvl w:val="0"/>
                                <w:numId w:val="2"/>
                              </w:numPr>
                              <w:spacing w:beforeLines="50" w:before="120" w:afterLines="50" w:after="120" w:line="360" w:lineRule="auto"/>
                              <w:ind w:firstLineChars="0"/>
                              <w:jc w:val="left"/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</w:pPr>
                            <w:r w:rsidRPr="00965A9A">
                              <w:rPr>
                                <w:rFonts w:ascii="Times New Roman" w:eastAsia="楷体" w:hAnsi="Times New Roman" w:cs="Times New Roman"/>
                                <w:b/>
                                <w:sz w:val="28"/>
                                <w:szCs w:val="24"/>
                              </w:rPr>
                              <w:t>Dai, J.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 (2017). Are intertemporal preferences transitive? A Bayesian analysis of repeated individual intertemporal choices. 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i/>
                                <w:sz w:val="28"/>
                                <w:szCs w:val="24"/>
                              </w:rPr>
                              <w:t>Decision. 4,</w:t>
                            </w:r>
                            <w:r w:rsidRPr="00965A9A">
                              <w:rPr>
                                <w:rFonts w:ascii="Times New Roman" w:eastAsia="楷体" w:hAnsi="Times New Roman" w:cs="Times New Roman"/>
                                <w:sz w:val="28"/>
                                <w:szCs w:val="24"/>
                              </w:rPr>
                              <w:t xml:space="preserve"> 1—24.</w:t>
                            </w:r>
                          </w:p>
                          <w:p w:rsidR="00965A9A" w:rsidRPr="00965A9A" w:rsidRDefault="00965A9A" w:rsidP="00965A9A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spacing w:line="360" w:lineRule="auto"/>
                              <w:ind w:firstLineChars="0"/>
                              <w:jc w:val="left"/>
                              <w:rPr>
                                <w:rFonts w:ascii="Times New Roman" w:eastAsia="楷体"/>
                                <w:sz w:val="28"/>
                                <w:szCs w:val="24"/>
                              </w:rPr>
                            </w:pPr>
                            <w:r w:rsidRPr="00965A9A">
                              <w:rPr>
                                <w:rFonts w:ascii="Times New Roman" w:eastAsia="楷体"/>
                                <w:b/>
                                <w:sz w:val="28"/>
                                <w:szCs w:val="24"/>
                              </w:rPr>
                              <w:t>Dai, J.</w:t>
                            </w:r>
                            <w:r w:rsidRPr="00965A9A">
                              <w:rPr>
                                <w:rFonts w:ascii="Times New Roman" w:eastAsia="楷体"/>
                                <w:sz w:val="28"/>
                                <w:szCs w:val="24"/>
                              </w:rPr>
                              <w:t>, Kerestes, R., Upton, D. J., Busemeyer, J. R., &amp; S</w:t>
                            </w:r>
                            <w:r w:rsidRPr="00965A9A">
                              <w:rPr>
                                <w:rFonts w:ascii="Times New Roman" w:eastAsia="楷体"/>
                                <w:sz w:val="28"/>
                                <w:szCs w:val="24"/>
                              </w:rPr>
                              <w:t xml:space="preserve">tout, J. C. (2015). An improved </w:t>
                            </w:r>
                            <w:r w:rsidRPr="00965A9A">
                              <w:rPr>
                                <w:rFonts w:ascii="Times New Roman" w:eastAsia="楷体"/>
                                <w:sz w:val="28"/>
                                <w:szCs w:val="24"/>
                              </w:rPr>
                              <w:t xml:space="preserve">cognitive model of the Iowa and Soochow Gambling Tasks with regard to model fitting performance and tests of parameter consistency. </w:t>
                            </w:r>
                            <w:r w:rsidRPr="00965A9A">
                              <w:rPr>
                                <w:rFonts w:ascii="Times New Roman" w:eastAsia="楷体"/>
                                <w:i/>
                                <w:sz w:val="28"/>
                                <w:szCs w:val="24"/>
                              </w:rPr>
                              <w:t>Frontiers in Psychology, 6:229</w:t>
                            </w:r>
                            <w:r w:rsidRPr="00965A9A">
                              <w:rPr>
                                <w:rFonts w:ascii="Times New Roman" w:eastAsia="楷体"/>
                                <w:sz w:val="28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hape 1073741833" o:spid="_x0000_s1026" style="position:absolute;left:0;text-align:left;margin-left:459.4pt;margin-top:110.3pt;width:510.6pt;height:618pt;z-index:251671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" filled="f" strokecolor="#0070c0" strokeweight="1pt">
                <v:stroke miterlimit="4"/>
                <v:textbox inset="1.27mm,1.27mm,1.27mm,1.27mm">
                  <w:txbxContent>
                    <w:p w:rsidR="00AE567E" w:rsidRDefault="00873A5F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AE567E" w:rsidRPr="00965A9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201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4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-201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7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 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德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国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●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马克斯普朗克人类发展研究所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/>
                        </w:rPr>
                        <w:t>博士后</w:t>
                      </w:r>
                    </w:p>
                    <w:p w:rsidR="00AE567E" w:rsidRPr="00965A9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201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0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-201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4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 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美国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●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印第安纳大学心理系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 xml:space="preserve">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博士</w:t>
                      </w:r>
                    </w:p>
                    <w:p w:rsidR="00FB549C" w:rsidRPr="00965A9A" w:rsidRDefault="00FB549C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 xml:space="preserve">2011-2013                     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美国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●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/>
                        </w:rPr>
                        <w:t xml:space="preserve">印第安纳大学统计系              </w:t>
                      </w:r>
                      <w:r w:rsidRPr="00965A9A">
                        <w:rPr>
                          <w:rStyle w:val="a6"/>
                          <w:rFonts w:ascii="微软雅黑" w:eastAsia="PMingLiU" w:hAnsi="微软雅黑" w:cs="微软雅黑"/>
                          <w:kern w:val="24"/>
                          <w:sz w:val="28"/>
                          <w:lang w:val="zh-TW" w:eastAsia="zh-TW"/>
                        </w:rPr>
                        <w:t xml:space="preserve">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/>
                        </w:rPr>
                        <w:t>硕士</w:t>
                      </w:r>
                    </w:p>
                    <w:p w:rsidR="00AE567E" w:rsidRPr="00965A9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20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07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-201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0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 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美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国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●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南达科塔大学心理系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 xml:space="preserve">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硕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士</w:t>
                      </w:r>
                    </w:p>
                    <w:p w:rsidR="00AE567E" w:rsidRPr="00965A9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200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2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-20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05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 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中国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●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华东师范大学心理系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</w:t>
                      </w:r>
                      <w:r w:rsidR="00FB549C"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 xml:space="preserve">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硕士</w:t>
                      </w:r>
                    </w:p>
                    <w:p w:rsidR="00AE567E" w:rsidRPr="00965A9A" w:rsidRDefault="00FB549C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</w:pPr>
                      <w:r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1998</w:t>
                      </w:r>
                      <w:r w:rsidR="00873A5F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-200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>2</w:t>
                      </w:r>
                      <w:r w:rsidR="00873A5F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   </w:t>
                      </w:r>
                      <w:r w:rsidR="00873A5F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lang w:val="zh-TW" w:eastAsia="zh-TW"/>
                        </w:rPr>
                        <w:t>中国●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复旦大学物理系 </w:t>
                      </w:r>
                      <w:r w:rsidR="00873A5F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 xml:space="preserve">                    </w:t>
                      </w:r>
                      <w:r w:rsidRPr="00965A9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</w:rPr>
                        <w:t xml:space="preserve">  </w:t>
                      </w:r>
                      <w:r w:rsidR="00873A5F" w:rsidRPr="00965A9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</w:rPr>
                        <w:t>学士</w:t>
                      </w:r>
                    </w:p>
                    <w:p w:rsidR="00AE567E" w:rsidRDefault="00873A5F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</w:p>
                    <w:p w:rsidR="00965A9A" w:rsidRPr="00965A9A" w:rsidRDefault="00FB549C" w:rsidP="00965A9A">
                      <w:pPr>
                        <w:pStyle w:val="a8"/>
                        <w:numPr>
                          <w:ilvl w:val="0"/>
                          <w:numId w:val="2"/>
                        </w:numPr>
                        <w:spacing w:beforeLines="50" w:before="120" w:afterLines="50" w:after="120" w:line="360" w:lineRule="auto"/>
                        <w:ind w:firstLineChars="0"/>
                        <w:jc w:val="left"/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</w:pPr>
                      <w:r w:rsidRPr="00965A9A">
                        <w:rPr>
                          <w:rFonts w:ascii="Times New Roman" w:eastAsia="楷体" w:hAnsi="Times New Roman" w:cs="Times New Roman"/>
                          <w:b/>
                          <w:sz w:val="28"/>
                          <w:szCs w:val="24"/>
                        </w:rPr>
                        <w:t>Dai, J.,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 &amp; </w:t>
                      </w:r>
                      <w:proofErr w:type="spellStart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Busemeyer</w:t>
                      </w:r>
                      <w:proofErr w:type="spellEnd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, J. R. (2014). A probabilistic, dynamic, and attribute-wise model of intertemporal choice.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i/>
                          <w:iCs/>
                          <w:sz w:val="28"/>
                          <w:szCs w:val="24"/>
                        </w:rPr>
                        <w:t xml:space="preserve">Journal of Experimental Psychology: General. 143,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1489—1514.</w:t>
                      </w:r>
                    </w:p>
                    <w:p w:rsidR="00AE567E" w:rsidRPr="00965A9A" w:rsidRDefault="00965A9A" w:rsidP="00965A9A">
                      <w:pPr>
                        <w:pStyle w:val="a8"/>
                        <w:numPr>
                          <w:ilvl w:val="0"/>
                          <w:numId w:val="2"/>
                        </w:numPr>
                        <w:spacing w:beforeLines="50" w:before="120" w:afterLines="50" w:after="120" w:line="360" w:lineRule="auto"/>
                        <w:ind w:firstLineChars="0"/>
                        <w:jc w:val="left"/>
                        <w:rPr>
                          <w:rFonts w:ascii="Times New Roman" w:eastAsia="微软雅黑" w:hAnsi="Times New Roman" w:cs="Times New Roman"/>
                          <w:i/>
                          <w:sz w:val="28"/>
                          <w:szCs w:val="24"/>
                        </w:rPr>
                      </w:pPr>
                      <w:r w:rsidRPr="00965A9A">
                        <w:rPr>
                          <w:rFonts w:ascii="Times New Roman" w:eastAsia="楷体" w:hAnsi="Times New Roman" w:cs="Times New Roman"/>
                          <w:b/>
                          <w:sz w:val="28"/>
                          <w:szCs w:val="24"/>
                        </w:rPr>
                        <w:t>D</w:t>
                      </w:r>
                      <w:r w:rsidRPr="00965A9A">
                        <w:rPr>
                          <w:rFonts w:ascii="Times New Roman" w:eastAsia="楷体" w:hAnsi="Times New Roman" w:cs="Times New Roman"/>
                          <w:b/>
                          <w:sz w:val="28"/>
                          <w:szCs w:val="24"/>
                        </w:rPr>
                        <w:t>ai, J.,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 </w:t>
                      </w:r>
                      <w:proofErr w:type="spellStart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Pleskac</w:t>
                      </w:r>
                      <w:proofErr w:type="spellEnd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, T., &amp; </w:t>
                      </w:r>
                      <w:proofErr w:type="spellStart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Pachur</w:t>
                      </w:r>
                      <w:proofErr w:type="spellEnd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, T. (accepted). Dynamic cognitive models of intertemporal choice.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i/>
                          <w:sz w:val="28"/>
                          <w:szCs w:val="24"/>
                        </w:rPr>
                        <w:t>Cognitive Psychology.</w:t>
                      </w:r>
                      <w:r w:rsidR="00873A5F" w:rsidRPr="00965A9A">
                        <w:rPr>
                          <w:rFonts w:ascii="Times New Roman" w:eastAsia="微软雅黑" w:hAnsi="Times New Roman" w:cs="Times New Roman"/>
                          <w:i/>
                          <w:sz w:val="28"/>
                          <w:szCs w:val="24"/>
                        </w:rPr>
                        <w:t xml:space="preserve"> </w:t>
                      </w:r>
                    </w:p>
                    <w:p w:rsidR="00AE567E" w:rsidRPr="00965A9A" w:rsidRDefault="00965A9A" w:rsidP="00965A9A">
                      <w:pPr>
                        <w:pStyle w:val="a8"/>
                        <w:numPr>
                          <w:ilvl w:val="0"/>
                          <w:numId w:val="2"/>
                        </w:numPr>
                        <w:spacing w:beforeLines="50" w:before="120" w:afterLines="50" w:after="120" w:line="360" w:lineRule="auto"/>
                        <w:ind w:firstLineChars="0"/>
                        <w:jc w:val="left"/>
                        <w:rPr>
                          <w:rFonts w:ascii="Times New Roman" w:eastAsia="微软雅黑" w:hAnsi="Times New Roman" w:cs="Times New Roman"/>
                          <w:i/>
                          <w:sz w:val="28"/>
                          <w:szCs w:val="24"/>
                        </w:rPr>
                      </w:pPr>
                      <w:r w:rsidRPr="00965A9A">
                        <w:rPr>
                          <w:rFonts w:ascii="Times New Roman" w:eastAsia="楷体" w:hAnsi="Times New Roman" w:cs="Times New Roman"/>
                          <w:b/>
                          <w:sz w:val="28"/>
                          <w:szCs w:val="24"/>
                        </w:rPr>
                        <w:t>Dai, J.,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 Gunn, R. L., </w:t>
                      </w:r>
                      <w:proofErr w:type="spellStart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Gerst</w:t>
                      </w:r>
                      <w:proofErr w:type="spellEnd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, K. R., </w:t>
                      </w:r>
                      <w:proofErr w:type="spellStart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Busemeyer</w:t>
                      </w:r>
                      <w:proofErr w:type="spellEnd"/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, J. R., &amp; Finn, P. R. (2016). A random utility model of delay discounting and its application to people with externalizing psychopathology.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i/>
                          <w:iCs/>
                          <w:sz w:val="28"/>
                          <w:szCs w:val="24"/>
                        </w:rPr>
                        <w:t xml:space="preserve">Psychological Assessment. 28,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>1198—1206.</w:t>
                      </w:r>
                      <w:r w:rsidR="00873A5F" w:rsidRPr="00965A9A">
                        <w:rPr>
                          <w:rFonts w:ascii="Times New Roman" w:eastAsia="微软雅黑" w:hAnsi="Times New Roman" w:cs="Times New Roman"/>
                          <w:color w:val="222222"/>
                          <w:sz w:val="28"/>
                          <w:szCs w:val="24"/>
                          <w:shd w:val="clear" w:color="auto" w:fill="FFFFFF"/>
                        </w:rPr>
                        <w:t xml:space="preserve">    </w:t>
                      </w:r>
                    </w:p>
                    <w:p w:rsidR="00965A9A" w:rsidRPr="00965A9A" w:rsidRDefault="00965A9A" w:rsidP="00965A9A">
                      <w:pPr>
                        <w:pStyle w:val="a8"/>
                        <w:numPr>
                          <w:ilvl w:val="0"/>
                          <w:numId w:val="2"/>
                        </w:numPr>
                        <w:spacing w:beforeLines="50" w:before="120" w:afterLines="50" w:after="120" w:line="360" w:lineRule="auto"/>
                        <w:ind w:firstLineChars="0"/>
                        <w:jc w:val="left"/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</w:pPr>
                      <w:r w:rsidRPr="00965A9A">
                        <w:rPr>
                          <w:rFonts w:ascii="Times New Roman" w:eastAsia="楷体" w:hAnsi="Times New Roman" w:cs="Times New Roman"/>
                          <w:b/>
                          <w:sz w:val="28"/>
                          <w:szCs w:val="24"/>
                        </w:rPr>
                        <w:t>Dai, J.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 (2017). Are intertemporal preferences transitive? A Bayesian analysis of repeated individual intertemporal choices. </w:t>
                      </w:r>
                      <w:r w:rsidRPr="00965A9A">
                        <w:rPr>
                          <w:rFonts w:ascii="Times New Roman" w:eastAsia="楷体" w:hAnsi="Times New Roman" w:cs="Times New Roman"/>
                          <w:i/>
                          <w:sz w:val="28"/>
                          <w:szCs w:val="24"/>
                        </w:rPr>
                        <w:t>Decision. 4,</w:t>
                      </w:r>
                      <w:r w:rsidRPr="00965A9A">
                        <w:rPr>
                          <w:rFonts w:ascii="Times New Roman" w:eastAsia="楷体" w:hAnsi="Times New Roman" w:cs="Times New Roman"/>
                          <w:sz w:val="28"/>
                          <w:szCs w:val="24"/>
                        </w:rPr>
                        <w:t xml:space="preserve"> 1—24.</w:t>
                      </w:r>
                    </w:p>
                    <w:p w:rsidR="00965A9A" w:rsidRPr="00965A9A" w:rsidRDefault="00965A9A" w:rsidP="00965A9A">
                      <w:pPr>
                        <w:pStyle w:val="a7"/>
                        <w:numPr>
                          <w:ilvl w:val="0"/>
                          <w:numId w:val="2"/>
                        </w:numPr>
                        <w:spacing w:line="360" w:lineRule="auto"/>
                        <w:ind w:firstLineChars="0"/>
                        <w:jc w:val="left"/>
                        <w:rPr>
                          <w:rFonts w:ascii="Times New Roman" w:eastAsia="楷体"/>
                          <w:sz w:val="28"/>
                          <w:szCs w:val="24"/>
                        </w:rPr>
                      </w:pPr>
                      <w:r w:rsidRPr="00965A9A">
                        <w:rPr>
                          <w:rFonts w:ascii="Times New Roman" w:eastAsia="楷体"/>
                          <w:b/>
                          <w:sz w:val="28"/>
                          <w:szCs w:val="24"/>
                        </w:rPr>
                        <w:t>Dai, J.</w:t>
                      </w:r>
                      <w:r w:rsidRPr="00965A9A">
                        <w:rPr>
                          <w:rFonts w:ascii="Times New Roman" w:eastAsia="楷体"/>
                          <w:sz w:val="28"/>
                          <w:szCs w:val="24"/>
                        </w:rPr>
                        <w:t>, Kerestes, R., Upton, D. J., Busemeyer, J. R., &amp; S</w:t>
                      </w:r>
                      <w:r w:rsidRPr="00965A9A">
                        <w:rPr>
                          <w:rFonts w:ascii="Times New Roman" w:eastAsia="楷体"/>
                          <w:sz w:val="28"/>
                          <w:szCs w:val="24"/>
                        </w:rPr>
                        <w:t xml:space="preserve">tout, J. C. (2015). An improved </w:t>
                      </w:r>
                      <w:r w:rsidRPr="00965A9A">
                        <w:rPr>
                          <w:rFonts w:ascii="Times New Roman" w:eastAsia="楷体"/>
                          <w:sz w:val="28"/>
                          <w:szCs w:val="24"/>
                        </w:rPr>
                        <w:t xml:space="preserve">cognitive model of the Iowa and Soochow Gambling Tasks with regard to model fitting performance and tests of parameter consistency. </w:t>
                      </w:r>
                      <w:r w:rsidRPr="00965A9A">
                        <w:rPr>
                          <w:rFonts w:ascii="Times New Roman" w:eastAsia="楷体"/>
                          <w:i/>
                          <w:sz w:val="28"/>
                          <w:szCs w:val="24"/>
                        </w:rPr>
                        <w:t>Frontiers in Psychology, 6:229</w:t>
                      </w:r>
                      <w:r w:rsidRPr="00965A9A">
                        <w:rPr>
                          <w:rFonts w:ascii="Times New Roman" w:eastAsia="楷体"/>
                          <w:sz w:val="28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-476250</wp:posOffset>
                </wp:positionH>
                <wp:positionV relativeFrom="line">
                  <wp:posOffset>1160780</wp:posOffset>
                </wp:positionV>
                <wp:extent cx="7566660" cy="142875"/>
                <wp:effectExtent l="0" t="0" r="0" b="9525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66660" cy="1428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D9341" id="officeArt object" o:spid="_x0000_s1026" style="position:absolute;left:0;text-align:left;margin-left:-37.5pt;margin-top:91.4pt;width:595.8pt;height:11.25pt;flip:y;z-index:251666432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 w:rsidR="00873A5F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466725</wp:posOffset>
                </wp:positionH>
                <wp:positionV relativeFrom="line">
                  <wp:posOffset>703580</wp:posOffset>
                </wp:positionV>
                <wp:extent cx="5975985" cy="504825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5048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E567E" w:rsidRPr="00FB549C" w:rsidRDefault="00873A5F" w:rsidP="00FB549C">
                            <w:pPr>
                              <w:pStyle w:val="a3"/>
                              <w:spacing w:before="0" w:after="0" w:line="400" w:lineRule="exact"/>
                              <w:ind w:left="420" w:firstLineChars="52" w:firstLine="146"/>
                              <w:rPr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 w:rsidR="00FB549C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行为决策、认知建模、贝叶斯统计、心理学与大数据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7" style="position:absolute;left:0;text-align:left;margin-left:36.75pt;margin-top:55.4pt;width:470.55pt;height:39.75pt;z-index:251669504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" filled="f" stroked="f" strokeweight="1pt">
                <v:stroke miterlimit="4"/>
                <v:textbox inset="1.27mm,1.27mm,1.27mm,1.27mm">
                  <w:txbxContent>
                    <w:p w:rsidR="00AE567E" w:rsidRPr="00FB549C" w:rsidRDefault="00873A5F" w:rsidP="00FB549C">
                      <w:pPr>
                        <w:pStyle w:val="a3"/>
                        <w:spacing w:before="0" w:after="0" w:line="400" w:lineRule="exact"/>
                        <w:ind w:left="420" w:firstLineChars="52" w:firstLine="146"/>
                        <w:rPr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 w:rsidR="00FB549C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行为决策、认知建模、贝叶斯统计、心理学与大数据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FB549C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w:t>戴俊毅</w:t>
      </w:r>
      <w:r w:rsidR="00873A5F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FB549C" w:rsidRPr="00FB549C">
        <w:rPr>
          <w:rFonts w:ascii="微软雅黑" w:eastAsia="微软雅黑" w:hAnsi="微软雅黑" w:cs="微软雅黑" w:hint="eastAsia"/>
          <w:sz w:val="44"/>
          <w:szCs w:val="44"/>
        </w:rPr>
        <w:t>百人计划</w:t>
      </w:r>
      <w:r w:rsidR="00873A5F">
        <w:rPr>
          <w:rFonts w:ascii="微软雅黑" w:eastAsia="微软雅黑" w:hAnsi="微软雅黑" w:cs="微软雅黑" w:hint="eastAsia"/>
          <w:sz w:val="44"/>
          <w:szCs w:val="44"/>
        </w:rPr>
        <w:t>研究员，博士生导师</w:t>
      </w:r>
      <w:bookmarkEnd w:id="0"/>
    </w:p>
    <w:sectPr w:rsidR="00AE567E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A5F" w:rsidRDefault="00873A5F">
      <w:pPr>
        <w:framePr w:wrap="around"/>
      </w:pPr>
      <w:r>
        <w:separator/>
      </w:r>
    </w:p>
  </w:endnote>
  <w:endnote w:type="continuationSeparator" w:id="0">
    <w:p w:rsidR="00873A5F" w:rsidRDefault="00873A5F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宋体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67E" w:rsidRDefault="00AE567E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A5F" w:rsidRDefault="00873A5F">
      <w:pPr>
        <w:framePr w:wrap="around"/>
      </w:pPr>
      <w:r>
        <w:separator/>
      </w:r>
    </w:p>
  </w:footnote>
  <w:footnote w:type="continuationSeparator" w:id="0">
    <w:p w:rsidR="00873A5F" w:rsidRDefault="00873A5F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67E" w:rsidRDefault="00AE567E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F8958AE"/>
    <w:multiLevelType w:val="hybridMultilevel"/>
    <w:tmpl w:val="AC5825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67E"/>
    <w:rsid w:val="00873A5F"/>
    <w:rsid w:val="008C7E7A"/>
    <w:rsid w:val="00965A9A"/>
    <w:rsid w:val="00AE567E"/>
    <w:rsid w:val="00FB549C"/>
    <w:rsid w:val="03827057"/>
    <w:rsid w:val="139E73B8"/>
    <w:rsid w:val="19556A9B"/>
    <w:rsid w:val="22EE2D14"/>
    <w:rsid w:val="26DA33DC"/>
    <w:rsid w:val="2E314F16"/>
    <w:rsid w:val="2FE82940"/>
    <w:rsid w:val="3CFF38A6"/>
    <w:rsid w:val="45EE23A9"/>
    <w:rsid w:val="4A017303"/>
    <w:rsid w:val="4A8D5D3E"/>
    <w:rsid w:val="525E5409"/>
    <w:rsid w:val="5C296499"/>
    <w:rsid w:val="62292F21"/>
    <w:rsid w:val="682341A6"/>
    <w:rsid w:val="6CB9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C1159F5"/>
  <w15:docId w15:val="{DB06DEBF-8D18-4D15-885D-490606F3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a7">
    <w:name w:val="段"/>
    <w:rsid w:val="00965A9A"/>
    <w:pPr>
      <w:autoSpaceDE w:val="0"/>
      <w:autoSpaceDN w:val="0"/>
      <w:ind w:firstLineChars="200" w:firstLine="200"/>
      <w:jc w:val="both"/>
    </w:pPr>
    <w:rPr>
      <w:rFonts w:ascii="宋体" w:eastAsia="宋体"/>
      <w:noProof/>
      <w:sz w:val="21"/>
    </w:rPr>
  </w:style>
  <w:style w:type="paragraph" w:styleId="a8">
    <w:name w:val="List Paragraph"/>
    <w:basedOn w:val="a"/>
    <w:uiPriority w:val="99"/>
    <w:rsid w:val="00965A9A"/>
    <w:pPr>
      <w:framePr w:wrap="around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Junyi Dai</cp:lastModifiedBy>
  <cp:revision>3</cp:revision>
  <dcterms:created xsi:type="dcterms:W3CDTF">2018-03-06T06:18:00Z</dcterms:created>
  <dcterms:modified xsi:type="dcterms:W3CDTF">2018-03-06T06:41:00Z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